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63" w:rsidRPr="00331FB1" w:rsidRDefault="00651363" w:rsidP="00651363">
      <w:pPr>
        <w:jc w:val="both"/>
        <w:rPr>
          <w:sz w:val="16"/>
        </w:rPr>
      </w:pPr>
    </w:p>
    <w:p w:rsidR="00834114" w:rsidRDefault="00834114" w:rsidP="003E7CE8">
      <w:pPr>
        <w:pStyle w:val="BodyText3"/>
        <w:jc w:val="center"/>
        <w:rPr>
          <w:b/>
          <w:bCs/>
          <w:sz w:val="28"/>
          <w:szCs w:val="28"/>
          <w:u w:val="single"/>
        </w:rPr>
      </w:pPr>
    </w:p>
    <w:p w:rsidR="003E7CE8" w:rsidRPr="00764E41" w:rsidRDefault="003E7CE8" w:rsidP="003E7CE8">
      <w:pPr>
        <w:pStyle w:val="BodyText3"/>
        <w:jc w:val="center"/>
        <w:rPr>
          <w:b/>
          <w:bCs/>
          <w:sz w:val="28"/>
          <w:szCs w:val="28"/>
          <w:u w:val="single"/>
        </w:rPr>
      </w:pPr>
      <w:r w:rsidRPr="00764E41">
        <w:rPr>
          <w:b/>
          <w:bCs/>
          <w:sz w:val="28"/>
          <w:szCs w:val="28"/>
          <w:u w:val="single"/>
        </w:rPr>
        <w:t>Site Plan Review Checklist</w:t>
      </w:r>
    </w:p>
    <w:p w:rsidR="003E7CE8" w:rsidRDefault="003E7CE8" w:rsidP="003E7CE8">
      <w:pPr>
        <w:pStyle w:val="BodyText3"/>
      </w:pPr>
    </w:p>
    <w:p w:rsidR="003E7CE8" w:rsidRPr="003E7CE8" w:rsidRDefault="003E7CE8" w:rsidP="003E7CE8">
      <w:pPr>
        <w:pStyle w:val="BodyText3"/>
        <w:rPr>
          <w:szCs w:val="22"/>
        </w:rPr>
      </w:pPr>
      <w:r w:rsidRPr="003E7CE8">
        <w:rPr>
          <w:bCs/>
          <w:szCs w:val="22"/>
        </w:rPr>
        <w:t xml:space="preserve">Please check the following list to make sure that you have included all applicable information.  </w:t>
      </w:r>
    </w:p>
    <w:p w:rsidR="003E7CE8" w:rsidRPr="003E7CE8" w:rsidRDefault="003E7CE8" w:rsidP="003E7CE8">
      <w:pPr>
        <w:pStyle w:val="BodyText3"/>
        <w:rPr>
          <w:szCs w:val="22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8730"/>
      </w:tblGrid>
      <w:tr w:rsidR="003E7CE8" w:rsidRPr="00463A8A" w:rsidTr="0083687A">
        <w:trPr>
          <w:trHeight w:val="2304"/>
          <w:jc w:val="center"/>
        </w:trPr>
        <w:tc>
          <w:tcPr>
            <w:tcW w:w="805" w:type="dxa"/>
            <w:tcBorders>
              <w:bottom w:val="nil"/>
            </w:tcBorders>
            <w:vAlign w:val="center"/>
          </w:tcPr>
          <w:p w:rsidR="003E7CE8" w:rsidRPr="003E7CE8" w:rsidRDefault="003E7CE8" w:rsidP="005B6F61">
            <w:pPr>
              <w:pStyle w:val="BodyText3"/>
              <w:jc w:val="center"/>
              <w:rPr>
                <w:sz w:val="28"/>
                <w:szCs w:val="28"/>
              </w:rPr>
            </w:pPr>
            <w:r w:rsidRPr="003E7CE8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8730" w:type="dxa"/>
            <w:tcBorders>
              <w:bottom w:val="nil"/>
            </w:tcBorders>
            <w:vAlign w:val="center"/>
          </w:tcPr>
          <w:p w:rsidR="00764E41" w:rsidRPr="00764E41" w:rsidRDefault="00764E41" w:rsidP="00764E41">
            <w:pPr>
              <w:pStyle w:val="BodyText3"/>
              <w:ind w:right="72"/>
              <w:rPr>
                <w:szCs w:val="22"/>
              </w:rPr>
            </w:pPr>
            <w:r w:rsidRPr="00764E41">
              <w:rPr>
                <w:b/>
                <w:bCs/>
                <w:szCs w:val="22"/>
              </w:rPr>
              <w:t>Sewage Flow Calculations:</w:t>
            </w:r>
          </w:p>
          <w:p w:rsidR="002D334C" w:rsidRDefault="00764E41" w:rsidP="009205FA">
            <w:pPr>
              <w:pStyle w:val="BodyText3"/>
              <w:ind w:right="72"/>
              <w:rPr>
                <w:szCs w:val="22"/>
              </w:rPr>
            </w:pPr>
            <w:r w:rsidRPr="00764E41">
              <w:rPr>
                <w:szCs w:val="22"/>
              </w:rPr>
              <w:t>Please calculate and provide existing and proposed d</w:t>
            </w:r>
            <w:r w:rsidR="00640324">
              <w:rPr>
                <w:szCs w:val="22"/>
              </w:rPr>
              <w:t xml:space="preserve">aily wastewater flows (average and </w:t>
            </w:r>
            <w:r w:rsidRPr="00764E41">
              <w:rPr>
                <w:szCs w:val="22"/>
              </w:rPr>
              <w:t>maximum</w:t>
            </w:r>
            <w:r w:rsidR="00640324">
              <w:rPr>
                <w:szCs w:val="22"/>
              </w:rPr>
              <w:t xml:space="preserve"> daily flow and peak flow rate</w:t>
            </w:r>
            <w:r w:rsidRPr="00764E41">
              <w:rPr>
                <w:szCs w:val="22"/>
              </w:rPr>
              <w:t xml:space="preserve">) for the site. </w:t>
            </w:r>
            <w:r>
              <w:rPr>
                <w:szCs w:val="22"/>
              </w:rPr>
              <w:t xml:space="preserve">Include description of discharge source and any potential contaminates. </w:t>
            </w:r>
            <w:r w:rsidRPr="00764E41">
              <w:rPr>
                <w:szCs w:val="22"/>
              </w:rPr>
              <w:t>Sewage flow calculations should be based on TR-16 “Guides for the Design of Wastewater Treatment Works,” Connecticut Department of Public Health – Public Health Code, or other good engineering practice standards.</w:t>
            </w:r>
          </w:p>
          <w:p w:rsidR="0083687A" w:rsidRDefault="0083687A" w:rsidP="009205FA">
            <w:pPr>
              <w:pStyle w:val="BodyText3"/>
              <w:ind w:right="72"/>
              <w:rPr>
                <w:szCs w:val="22"/>
              </w:rPr>
            </w:pPr>
          </w:p>
          <w:p w:rsidR="0083687A" w:rsidRPr="00764E41" w:rsidRDefault="0083687A" w:rsidP="0083687A">
            <w:pPr>
              <w:pStyle w:val="BodyText3"/>
              <w:ind w:right="72"/>
              <w:rPr>
                <w:b/>
                <w:bCs/>
                <w:szCs w:val="22"/>
              </w:rPr>
            </w:pPr>
            <w:r w:rsidRPr="003C2C02">
              <w:rPr>
                <w:sz w:val="18"/>
                <w:szCs w:val="18"/>
              </w:rPr>
              <w:t xml:space="preserve">Note:  </w:t>
            </w:r>
            <w:r>
              <w:rPr>
                <w:sz w:val="18"/>
                <w:szCs w:val="18"/>
              </w:rPr>
              <w:t xml:space="preserve">Sewage flow discharge in excess of 50,000 </w:t>
            </w:r>
            <w:proofErr w:type="spellStart"/>
            <w:r>
              <w:rPr>
                <w:sz w:val="18"/>
                <w:szCs w:val="18"/>
              </w:rPr>
              <w:t>gpd</w:t>
            </w:r>
            <w:proofErr w:type="spellEnd"/>
            <w:r>
              <w:rPr>
                <w:sz w:val="18"/>
                <w:szCs w:val="18"/>
              </w:rPr>
              <w:t xml:space="preserve"> requires notification/confirmation with </w:t>
            </w:r>
            <w:proofErr w:type="spellStart"/>
            <w:r>
              <w:rPr>
                <w:sz w:val="18"/>
                <w:szCs w:val="18"/>
              </w:rPr>
              <w:t>CTDEEP</w:t>
            </w:r>
            <w:proofErr w:type="spellEnd"/>
            <w:r w:rsidRPr="003C2C02">
              <w:rPr>
                <w:sz w:val="18"/>
                <w:szCs w:val="18"/>
              </w:rPr>
              <w:t>.</w:t>
            </w:r>
          </w:p>
        </w:tc>
      </w:tr>
      <w:tr w:rsidR="00764E41" w:rsidTr="00821034">
        <w:trPr>
          <w:trHeight w:val="3600"/>
          <w:jc w:val="center"/>
        </w:trPr>
        <w:tc>
          <w:tcPr>
            <w:tcW w:w="805" w:type="dxa"/>
            <w:tcBorders>
              <w:bottom w:val="nil"/>
            </w:tcBorders>
            <w:vAlign w:val="center"/>
          </w:tcPr>
          <w:p w:rsidR="00764E41" w:rsidRPr="003E7CE8" w:rsidRDefault="00764E41" w:rsidP="002B68A3">
            <w:pPr>
              <w:pStyle w:val="BodyText3"/>
              <w:jc w:val="center"/>
              <w:rPr>
                <w:sz w:val="28"/>
                <w:szCs w:val="28"/>
              </w:rPr>
            </w:pPr>
            <w:r w:rsidRPr="003E7CE8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8730" w:type="dxa"/>
            <w:tcBorders>
              <w:bottom w:val="nil"/>
            </w:tcBorders>
            <w:vAlign w:val="center"/>
          </w:tcPr>
          <w:p w:rsidR="00764E41" w:rsidRPr="00764E41" w:rsidRDefault="00764E41" w:rsidP="00764E41">
            <w:pPr>
              <w:pStyle w:val="BodyText3"/>
              <w:ind w:right="72"/>
              <w:rPr>
                <w:b/>
                <w:bCs/>
                <w:szCs w:val="22"/>
              </w:rPr>
            </w:pPr>
            <w:r w:rsidRPr="00764E41">
              <w:rPr>
                <w:b/>
                <w:bCs/>
                <w:szCs w:val="22"/>
              </w:rPr>
              <w:t>Sanitary Sewer Flow Monitoring</w:t>
            </w:r>
            <w:r>
              <w:rPr>
                <w:b/>
                <w:bCs/>
                <w:szCs w:val="22"/>
              </w:rPr>
              <w:t xml:space="preserve"> and Sewer Capacity Analysis</w:t>
            </w:r>
            <w:r w:rsidRPr="00764E41">
              <w:rPr>
                <w:b/>
                <w:bCs/>
                <w:szCs w:val="22"/>
              </w:rPr>
              <w:t>:</w:t>
            </w:r>
          </w:p>
          <w:p w:rsidR="00821034" w:rsidRDefault="00821034" w:rsidP="00764E41">
            <w:pPr>
              <w:pStyle w:val="BodyText3"/>
              <w:ind w:right="72"/>
              <w:rPr>
                <w:szCs w:val="22"/>
              </w:rPr>
            </w:pPr>
            <w:r>
              <w:rPr>
                <w:szCs w:val="22"/>
              </w:rPr>
              <w:t>Residential parcels of 10 units or greater and mixed-use/commercial</w:t>
            </w:r>
            <w:r w:rsidR="005D7EB9">
              <w:rPr>
                <w:szCs w:val="22"/>
              </w:rPr>
              <w:t>/industrial</w:t>
            </w:r>
            <w:r>
              <w:rPr>
                <w:szCs w:val="22"/>
              </w:rPr>
              <w:t xml:space="preserve"> parcels proposing a discharge of 5,000 gallons per day or greater are required to conduct sanitary sewer </w:t>
            </w:r>
            <w:r w:rsidRPr="00764E41">
              <w:rPr>
                <w:szCs w:val="22"/>
              </w:rPr>
              <w:t>flow monitoring</w:t>
            </w:r>
            <w:r>
              <w:rPr>
                <w:szCs w:val="22"/>
              </w:rPr>
              <w:t xml:space="preserve"> and prepare a sewer capacity analysis report.</w:t>
            </w:r>
          </w:p>
          <w:p w:rsidR="00821034" w:rsidRPr="00821034" w:rsidRDefault="00821034" w:rsidP="00764E41">
            <w:pPr>
              <w:pStyle w:val="BodyText3"/>
              <w:ind w:right="72"/>
              <w:rPr>
                <w:sz w:val="12"/>
                <w:szCs w:val="12"/>
              </w:rPr>
            </w:pPr>
          </w:p>
          <w:p w:rsidR="00764E41" w:rsidRPr="00764E41" w:rsidRDefault="00821034" w:rsidP="00764E41">
            <w:pPr>
              <w:pStyle w:val="BodyText3"/>
              <w:ind w:right="72"/>
              <w:rPr>
                <w:szCs w:val="22"/>
              </w:rPr>
            </w:pPr>
            <w:r>
              <w:rPr>
                <w:szCs w:val="22"/>
              </w:rPr>
              <w:t xml:space="preserve">Sanitary sewer </w:t>
            </w:r>
            <w:r w:rsidR="00764E41" w:rsidRPr="00764E41">
              <w:rPr>
                <w:szCs w:val="22"/>
              </w:rPr>
              <w:t xml:space="preserve">flow monitoring </w:t>
            </w:r>
            <w:r>
              <w:rPr>
                <w:szCs w:val="22"/>
              </w:rPr>
              <w:t xml:space="preserve">shall be </w:t>
            </w:r>
            <w:r w:rsidR="00764E41" w:rsidRPr="00764E41">
              <w:rPr>
                <w:szCs w:val="22"/>
              </w:rPr>
              <w:t xml:space="preserve">a minimum of 4 weeks (monitoring should include 2 rain events, with at least 1 a significant event of 0.5 inches or greater) of the sanitary sewer main as directed by the WPCA. </w:t>
            </w:r>
          </w:p>
          <w:p w:rsidR="00764E41" w:rsidRPr="00821034" w:rsidRDefault="00764E41" w:rsidP="00764E41">
            <w:pPr>
              <w:pStyle w:val="BodyText3"/>
              <w:ind w:right="72"/>
              <w:rPr>
                <w:sz w:val="12"/>
                <w:szCs w:val="12"/>
              </w:rPr>
            </w:pPr>
          </w:p>
          <w:p w:rsidR="00821034" w:rsidRPr="00821034" w:rsidRDefault="00821034" w:rsidP="002B68A3">
            <w:pPr>
              <w:pStyle w:val="BodyText3"/>
              <w:ind w:right="72"/>
              <w:rPr>
                <w:szCs w:val="22"/>
              </w:rPr>
            </w:pPr>
            <w:r>
              <w:rPr>
                <w:szCs w:val="22"/>
              </w:rPr>
              <w:t xml:space="preserve">A </w:t>
            </w:r>
            <w:r w:rsidR="00764E41" w:rsidRPr="00764E41">
              <w:rPr>
                <w:szCs w:val="22"/>
              </w:rPr>
              <w:t xml:space="preserve">sewer capacity analysis is required to show that the existing and proposed peak flow will provide at least 25% </w:t>
            </w:r>
            <w:bookmarkStart w:id="0" w:name="_GoBack"/>
            <w:bookmarkEnd w:id="0"/>
            <w:r w:rsidR="00764E41" w:rsidRPr="00764E41">
              <w:rPr>
                <w:szCs w:val="22"/>
              </w:rPr>
              <w:t xml:space="preserve">reserve capacity remaining in each </w:t>
            </w:r>
            <w:r w:rsidR="00764E41" w:rsidRPr="00764E41">
              <w:rPr>
                <w:szCs w:val="22"/>
                <w:u w:val="single"/>
              </w:rPr>
              <w:t>section</w:t>
            </w:r>
            <w:r w:rsidR="00764E41" w:rsidRPr="00764E41">
              <w:rPr>
                <w:szCs w:val="22"/>
              </w:rPr>
              <w:t xml:space="preserve"> of the sewer main as directed by the WPCA.  Sewage flow calculations should be based on TR-16 “Guides for the Design of Wastewater Treatment Works”, Connecticut Department of Public Health – Public Health Code, or other good engineering practice standards.</w:t>
            </w:r>
          </w:p>
        </w:tc>
      </w:tr>
      <w:tr w:rsidR="0094541D" w:rsidTr="002B68A3">
        <w:trPr>
          <w:trHeight w:val="720"/>
          <w:jc w:val="center"/>
        </w:trPr>
        <w:tc>
          <w:tcPr>
            <w:tcW w:w="805" w:type="dxa"/>
            <w:tcBorders>
              <w:bottom w:val="nil"/>
            </w:tcBorders>
            <w:vAlign w:val="center"/>
          </w:tcPr>
          <w:p w:rsidR="0094541D" w:rsidRPr="003E7CE8" w:rsidRDefault="0094541D" w:rsidP="002B68A3">
            <w:pPr>
              <w:pStyle w:val="BodyText3"/>
              <w:jc w:val="center"/>
              <w:rPr>
                <w:sz w:val="28"/>
                <w:szCs w:val="28"/>
              </w:rPr>
            </w:pPr>
            <w:r w:rsidRPr="003E7CE8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8730" w:type="dxa"/>
            <w:tcBorders>
              <w:bottom w:val="nil"/>
            </w:tcBorders>
            <w:vAlign w:val="center"/>
          </w:tcPr>
          <w:p w:rsidR="0094541D" w:rsidRDefault="0094541D" w:rsidP="0094541D">
            <w:pPr>
              <w:pStyle w:val="BodyText3"/>
              <w:ind w:right="72"/>
              <w:rPr>
                <w:szCs w:val="22"/>
              </w:rPr>
            </w:pPr>
            <w:r>
              <w:rPr>
                <w:szCs w:val="22"/>
              </w:rPr>
              <w:t>Please confirm if modification to the sanitary sewer main or extension is proposed.</w:t>
            </w:r>
          </w:p>
          <w:p w:rsidR="0094541D" w:rsidRPr="0094541D" w:rsidRDefault="0094541D" w:rsidP="0094541D">
            <w:pPr>
              <w:pStyle w:val="BodyText3"/>
              <w:ind w:right="72"/>
              <w:rPr>
                <w:sz w:val="12"/>
                <w:szCs w:val="12"/>
              </w:rPr>
            </w:pPr>
          </w:p>
          <w:p w:rsidR="0094541D" w:rsidRPr="003E7CE8" w:rsidRDefault="0094541D" w:rsidP="0094541D">
            <w:pPr>
              <w:pStyle w:val="BodyText3"/>
              <w:ind w:right="72"/>
              <w:rPr>
                <w:szCs w:val="22"/>
              </w:rPr>
            </w:pPr>
            <w:r w:rsidRPr="003C2C02">
              <w:rPr>
                <w:sz w:val="18"/>
                <w:szCs w:val="18"/>
              </w:rPr>
              <w:t xml:space="preserve">Note:  </w:t>
            </w:r>
            <w:r>
              <w:rPr>
                <w:sz w:val="18"/>
                <w:szCs w:val="18"/>
              </w:rPr>
              <w:t>Sanitary sewer extensions requires a public hearing</w:t>
            </w:r>
            <w:r w:rsidRPr="003C2C02">
              <w:rPr>
                <w:sz w:val="18"/>
                <w:szCs w:val="18"/>
              </w:rPr>
              <w:t>.</w:t>
            </w:r>
          </w:p>
        </w:tc>
      </w:tr>
      <w:tr w:rsidR="002142DF" w:rsidTr="00CE0E30">
        <w:trPr>
          <w:trHeight w:val="720"/>
          <w:jc w:val="center"/>
        </w:trPr>
        <w:tc>
          <w:tcPr>
            <w:tcW w:w="805" w:type="dxa"/>
            <w:tcBorders>
              <w:bottom w:val="nil"/>
            </w:tcBorders>
            <w:vAlign w:val="center"/>
          </w:tcPr>
          <w:p w:rsidR="002142DF" w:rsidRPr="003E7CE8" w:rsidRDefault="002142DF" w:rsidP="00CE0E30">
            <w:pPr>
              <w:pStyle w:val="BodyText3"/>
              <w:jc w:val="center"/>
              <w:rPr>
                <w:sz w:val="28"/>
                <w:szCs w:val="28"/>
              </w:rPr>
            </w:pPr>
            <w:r w:rsidRPr="003E7CE8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8730" w:type="dxa"/>
            <w:tcBorders>
              <w:bottom w:val="nil"/>
            </w:tcBorders>
            <w:vAlign w:val="center"/>
          </w:tcPr>
          <w:p w:rsidR="002142DF" w:rsidRPr="003E7CE8" w:rsidRDefault="002142DF" w:rsidP="002142DF">
            <w:pPr>
              <w:pStyle w:val="BodyText3"/>
              <w:ind w:right="72"/>
              <w:rPr>
                <w:szCs w:val="22"/>
              </w:rPr>
            </w:pPr>
            <w:r>
              <w:rPr>
                <w:szCs w:val="22"/>
              </w:rPr>
              <w:t xml:space="preserve">Please identify any City of Norwalk easements on the parcel (i.e. sanitary or </w:t>
            </w:r>
            <w:proofErr w:type="spellStart"/>
            <w:r>
              <w:rPr>
                <w:szCs w:val="22"/>
              </w:rPr>
              <w:t>stormwater</w:t>
            </w:r>
            <w:proofErr w:type="spellEnd"/>
            <w:r>
              <w:rPr>
                <w:szCs w:val="22"/>
              </w:rPr>
              <w:t>)</w:t>
            </w:r>
          </w:p>
        </w:tc>
      </w:tr>
      <w:tr w:rsidR="00764E41" w:rsidTr="00E821AB">
        <w:trPr>
          <w:trHeight w:val="720"/>
          <w:jc w:val="center"/>
        </w:trPr>
        <w:tc>
          <w:tcPr>
            <w:tcW w:w="805" w:type="dxa"/>
            <w:tcBorders>
              <w:bottom w:val="nil"/>
            </w:tcBorders>
            <w:vAlign w:val="center"/>
          </w:tcPr>
          <w:p w:rsidR="00764E41" w:rsidRPr="003E7CE8" w:rsidRDefault="00764E41" w:rsidP="00764E41">
            <w:pPr>
              <w:pStyle w:val="BodyText3"/>
              <w:jc w:val="center"/>
              <w:rPr>
                <w:sz w:val="28"/>
                <w:szCs w:val="28"/>
              </w:rPr>
            </w:pPr>
            <w:r w:rsidRPr="003E7CE8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8730" w:type="dxa"/>
            <w:tcBorders>
              <w:bottom w:val="nil"/>
            </w:tcBorders>
            <w:vAlign w:val="center"/>
          </w:tcPr>
          <w:p w:rsidR="00E821AB" w:rsidRDefault="00764E41" w:rsidP="00764E41">
            <w:pPr>
              <w:pStyle w:val="BodyText3"/>
              <w:ind w:right="72"/>
              <w:rPr>
                <w:szCs w:val="22"/>
              </w:rPr>
            </w:pPr>
            <w:r>
              <w:rPr>
                <w:szCs w:val="22"/>
              </w:rPr>
              <w:t xml:space="preserve">Submit </w:t>
            </w:r>
            <w:r w:rsidRPr="00A02B9B">
              <w:rPr>
                <w:szCs w:val="22"/>
              </w:rPr>
              <w:t xml:space="preserve">size and quantity </w:t>
            </w:r>
            <w:r>
              <w:rPr>
                <w:szCs w:val="22"/>
              </w:rPr>
              <w:t>of e</w:t>
            </w:r>
            <w:r w:rsidRPr="00A02B9B">
              <w:rPr>
                <w:szCs w:val="22"/>
              </w:rPr>
              <w:t xml:space="preserve">xisting and proposed water meter(s) for the </w:t>
            </w:r>
            <w:r w:rsidR="002142DF">
              <w:rPr>
                <w:szCs w:val="22"/>
              </w:rPr>
              <w:t>site</w:t>
            </w:r>
            <w:r>
              <w:rPr>
                <w:szCs w:val="22"/>
              </w:rPr>
              <w:t xml:space="preserve">.  </w:t>
            </w:r>
          </w:p>
          <w:p w:rsidR="00E821AB" w:rsidRPr="00E821AB" w:rsidRDefault="00E821AB" w:rsidP="00764E41">
            <w:pPr>
              <w:pStyle w:val="BodyText3"/>
              <w:ind w:right="72"/>
              <w:rPr>
                <w:sz w:val="12"/>
                <w:szCs w:val="12"/>
              </w:rPr>
            </w:pPr>
          </w:p>
          <w:p w:rsidR="00764E41" w:rsidRPr="003E7CE8" w:rsidRDefault="00E821AB" w:rsidP="00764E41">
            <w:pPr>
              <w:pStyle w:val="BodyText3"/>
              <w:ind w:right="72"/>
              <w:rPr>
                <w:szCs w:val="22"/>
              </w:rPr>
            </w:pPr>
            <w:r w:rsidRPr="003C2C02">
              <w:rPr>
                <w:sz w:val="18"/>
                <w:szCs w:val="18"/>
              </w:rPr>
              <w:t>Note:  Please provide copies of latest water bill and any local water department signoffs.</w:t>
            </w:r>
          </w:p>
        </w:tc>
      </w:tr>
      <w:tr w:rsidR="00AA7BFB" w:rsidTr="00AA7BFB">
        <w:trPr>
          <w:trHeight w:val="1008"/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AA7BFB" w:rsidRPr="003E7CE8" w:rsidRDefault="00AA7BFB" w:rsidP="00E569EE">
            <w:pPr>
              <w:pStyle w:val="BodyText3"/>
              <w:jc w:val="center"/>
              <w:rPr>
                <w:sz w:val="28"/>
                <w:szCs w:val="28"/>
              </w:rPr>
            </w:pPr>
            <w:r w:rsidRPr="003E7CE8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8730" w:type="dxa"/>
            <w:tcBorders>
              <w:bottom w:val="single" w:sz="4" w:space="0" w:color="auto"/>
            </w:tcBorders>
            <w:vAlign w:val="center"/>
          </w:tcPr>
          <w:p w:rsidR="00AA7BFB" w:rsidRPr="003E7CE8" w:rsidRDefault="00AA7BFB" w:rsidP="00AA7BFB">
            <w:pPr>
              <w:pStyle w:val="BodyText3"/>
              <w:ind w:right="72"/>
              <w:rPr>
                <w:szCs w:val="22"/>
              </w:rPr>
            </w:pPr>
            <w:r>
              <w:rPr>
                <w:szCs w:val="22"/>
              </w:rPr>
              <w:t xml:space="preserve">Please confirm if </w:t>
            </w:r>
            <w:r>
              <w:rPr>
                <w:szCs w:val="22"/>
              </w:rPr>
              <w:t xml:space="preserve">proposed wastewater discharge from the site requires a </w:t>
            </w:r>
            <w:r w:rsidRPr="00AA7BFB">
              <w:rPr>
                <w:szCs w:val="22"/>
              </w:rPr>
              <w:t xml:space="preserve">Connecticut Department of Energy and Environmental Protection </w:t>
            </w:r>
            <w:r w:rsidRPr="00AA7BFB">
              <w:rPr>
                <w:szCs w:val="22"/>
              </w:rPr>
              <w:t>Miscellaneous Industrial Users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MIU</w:t>
            </w:r>
            <w:proofErr w:type="spellEnd"/>
            <w:r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or </w:t>
            </w:r>
            <w:r w:rsidRPr="00AA7BFB">
              <w:rPr>
                <w:szCs w:val="22"/>
              </w:rPr>
              <w:t xml:space="preserve">Significant Industrial Users (SIU) </w:t>
            </w:r>
            <w:r>
              <w:rPr>
                <w:szCs w:val="22"/>
              </w:rPr>
              <w:t>General Permit.</w:t>
            </w:r>
            <w:r>
              <w:t xml:space="preserve"> </w:t>
            </w:r>
          </w:p>
        </w:tc>
      </w:tr>
      <w:tr w:rsidR="00764E41" w:rsidTr="00AA7BFB">
        <w:trPr>
          <w:trHeight w:val="1008"/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764E41" w:rsidRPr="003E7CE8" w:rsidRDefault="00764E41" w:rsidP="00764E41">
            <w:pPr>
              <w:pStyle w:val="BodyText3"/>
              <w:jc w:val="center"/>
              <w:rPr>
                <w:sz w:val="28"/>
                <w:szCs w:val="28"/>
              </w:rPr>
            </w:pPr>
            <w:r w:rsidRPr="003E7CE8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8730" w:type="dxa"/>
            <w:tcBorders>
              <w:bottom w:val="single" w:sz="4" w:space="0" w:color="auto"/>
            </w:tcBorders>
            <w:vAlign w:val="center"/>
          </w:tcPr>
          <w:p w:rsidR="00DE4A5C" w:rsidRPr="003E7CE8" w:rsidRDefault="002142DF" w:rsidP="00764E41">
            <w:pPr>
              <w:pStyle w:val="BodyText3"/>
              <w:ind w:right="72"/>
              <w:rPr>
                <w:szCs w:val="22"/>
              </w:rPr>
            </w:pPr>
            <w:r>
              <w:rPr>
                <w:szCs w:val="22"/>
              </w:rPr>
              <w:t>Please confirm</w:t>
            </w:r>
            <w:r w:rsidR="00764E41">
              <w:rPr>
                <w:szCs w:val="22"/>
              </w:rPr>
              <w:t xml:space="preserve"> if there will be any t</w:t>
            </w:r>
            <w:r w:rsidR="00764E41" w:rsidRPr="003E7CE8">
              <w:rPr>
                <w:szCs w:val="22"/>
              </w:rPr>
              <w:t>emporary discharge to the sanitary sewer or any other dewatering activities to the sanitary sewer during construction</w:t>
            </w:r>
            <w:r w:rsidR="00DE4A5C">
              <w:rPr>
                <w:szCs w:val="22"/>
              </w:rPr>
              <w:t>.  If applicable, submit State of Connecticut Department of Energy and Environmental Protection</w:t>
            </w:r>
            <w:r w:rsidR="00DE4A5C" w:rsidRPr="008C6CD5">
              <w:rPr>
                <w:szCs w:val="22"/>
              </w:rPr>
              <w:t xml:space="preserve"> </w:t>
            </w:r>
            <w:r w:rsidR="00DE4A5C">
              <w:rPr>
                <w:szCs w:val="22"/>
              </w:rPr>
              <w:t xml:space="preserve">discharge </w:t>
            </w:r>
            <w:r w:rsidR="00DE4A5C" w:rsidRPr="008C6CD5">
              <w:rPr>
                <w:szCs w:val="22"/>
              </w:rPr>
              <w:t>permit application</w:t>
            </w:r>
            <w:r w:rsidR="00DE4A5C">
              <w:rPr>
                <w:szCs w:val="22"/>
              </w:rPr>
              <w:t>.</w:t>
            </w:r>
          </w:p>
        </w:tc>
      </w:tr>
      <w:tr w:rsidR="00764E41" w:rsidTr="00AA7BFB">
        <w:trPr>
          <w:trHeight w:val="1872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E41" w:rsidRPr="001A1804" w:rsidRDefault="00764E41" w:rsidP="00764E41">
            <w:pPr>
              <w:pStyle w:val="BodyText3"/>
              <w:jc w:val="center"/>
              <w:rPr>
                <w:rFonts w:ascii="Wingdings" w:hAnsi="Wingdings"/>
                <w:sz w:val="28"/>
                <w:szCs w:val="28"/>
              </w:rPr>
            </w:pPr>
            <w:r w:rsidRPr="003E7CE8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E41" w:rsidRDefault="00764E41" w:rsidP="00764E41">
            <w:pPr>
              <w:pStyle w:val="BodyText3"/>
              <w:ind w:right="72"/>
              <w:rPr>
                <w:szCs w:val="22"/>
              </w:rPr>
            </w:pPr>
            <w:r w:rsidRPr="00EB348E">
              <w:rPr>
                <w:szCs w:val="22"/>
              </w:rPr>
              <w:t xml:space="preserve">Food Preparation </w:t>
            </w:r>
            <w:r>
              <w:rPr>
                <w:szCs w:val="22"/>
              </w:rPr>
              <w:t>Establishment</w:t>
            </w:r>
            <w:r w:rsidRPr="00EB348E">
              <w:rPr>
                <w:szCs w:val="22"/>
              </w:rPr>
              <w:t xml:space="preserve"> (Class 2, 3 and 4)</w:t>
            </w:r>
            <w:r>
              <w:rPr>
                <w:szCs w:val="22"/>
              </w:rPr>
              <w:t>, if applicable, submit the following:</w:t>
            </w:r>
          </w:p>
          <w:p w:rsidR="00DE4A5C" w:rsidRDefault="00DE4A5C" w:rsidP="00DE4A5C">
            <w:pPr>
              <w:pStyle w:val="BodyText3"/>
              <w:numPr>
                <w:ilvl w:val="0"/>
                <w:numId w:val="26"/>
              </w:numPr>
              <w:ind w:right="72"/>
              <w:rPr>
                <w:szCs w:val="22"/>
              </w:rPr>
            </w:pPr>
            <w:r w:rsidRPr="008C6CD5">
              <w:rPr>
                <w:szCs w:val="22"/>
              </w:rPr>
              <w:t>Identify size and location of grease recovery units</w:t>
            </w:r>
          </w:p>
          <w:p w:rsidR="00DE4A5C" w:rsidRDefault="00DE4A5C" w:rsidP="00DE4A5C">
            <w:pPr>
              <w:pStyle w:val="BodyText3"/>
              <w:numPr>
                <w:ilvl w:val="0"/>
                <w:numId w:val="26"/>
              </w:numPr>
              <w:ind w:right="72"/>
              <w:rPr>
                <w:szCs w:val="22"/>
              </w:rPr>
            </w:pPr>
            <w:r w:rsidRPr="003B1157">
              <w:rPr>
                <w:szCs w:val="22"/>
              </w:rPr>
              <w:t>Include grease recovery unit details</w:t>
            </w:r>
            <w:r>
              <w:rPr>
                <w:szCs w:val="22"/>
              </w:rPr>
              <w:t xml:space="preserve"> (cut sheets / shop drawings)</w:t>
            </w:r>
          </w:p>
          <w:p w:rsidR="00DE4A5C" w:rsidRDefault="00DE4A5C" w:rsidP="00DE4A5C">
            <w:pPr>
              <w:pStyle w:val="BodyText3"/>
              <w:numPr>
                <w:ilvl w:val="0"/>
                <w:numId w:val="26"/>
              </w:numPr>
              <w:ind w:right="72"/>
              <w:rPr>
                <w:szCs w:val="22"/>
              </w:rPr>
            </w:pPr>
            <w:r w:rsidRPr="00D41CDE">
              <w:rPr>
                <w:szCs w:val="22"/>
              </w:rPr>
              <w:t xml:space="preserve">Include floor plumbing and grease waste </w:t>
            </w:r>
            <w:r>
              <w:rPr>
                <w:szCs w:val="22"/>
              </w:rPr>
              <w:t xml:space="preserve">lines and invert elevations </w:t>
            </w:r>
            <w:r w:rsidRPr="00D41CDE">
              <w:rPr>
                <w:szCs w:val="22"/>
              </w:rPr>
              <w:t>on drawings</w:t>
            </w:r>
          </w:p>
          <w:p w:rsidR="00DE4A5C" w:rsidRDefault="00DE4A5C" w:rsidP="00DE4A5C">
            <w:pPr>
              <w:pStyle w:val="BodyText3"/>
              <w:numPr>
                <w:ilvl w:val="0"/>
                <w:numId w:val="26"/>
              </w:numPr>
              <w:ind w:right="72"/>
              <w:rPr>
                <w:szCs w:val="22"/>
              </w:rPr>
            </w:pPr>
            <w:r>
              <w:rPr>
                <w:szCs w:val="22"/>
              </w:rPr>
              <w:t>Provide equipment schedule on drawings</w:t>
            </w:r>
          </w:p>
          <w:p w:rsidR="00E821AB" w:rsidRPr="00E821AB" w:rsidRDefault="00E821AB" w:rsidP="00DE4A5C">
            <w:pPr>
              <w:pStyle w:val="BodyText3"/>
              <w:ind w:right="72"/>
              <w:rPr>
                <w:sz w:val="12"/>
                <w:szCs w:val="12"/>
              </w:rPr>
            </w:pPr>
          </w:p>
          <w:p w:rsidR="00DE4A5C" w:rsidRPr="003E7CE8" w:rsidRDefault="00DE4A5C" w:rsidP="00DE4A5C">
            <w:pPr>
              <w:pStyle w:val="BodyText3"/>
              <w:ind w:right="72"/>
              <w:rPr>
                <w:szCs w:val="22"/>
              </w:rPr>
            </w:pPr>
            <w:r w:rsidRPr="004456E5">
              <w:rPr>
                <w:sz w:val="18"/>
                <w:szCs w:val="18"/>
              </w:rPr>
              <w:t xml:space="preserve">Note:  </w:t>
            </w:r>
            <w:r>
              <w:rPr>
                <w:sz w:val="18"/>
                <w:szCs w:val="18"/>
              </w:rPr>
              <w:t xml:space="preserve">Information assistance can be found in the </w:t>
            </w:r>
            <w:proofErr w:type="spellStart"/>
            <w:r>
              <w:rPr>
                <w:sz w:val="18"/>
                <w:szCs w:val="18"/>
              </w:rPr>
              <w:t>WPCA’s</w:t>
            </w:r>
            <w:proofErr w:type="spellEnd"/>
            <w:r>
              <w:rPr>
                <w:sz w:val="18"/>
                <w:szCs w:val="18"/>
              </w:rPr>
              <w:t xml:space="preserve"> FOG Program packet – please contact</w:t>
            </w:r>
            <w:r w:rsidRPr="004456E5">
              <w:rPr>
                <w:sz w:val="18"/>
                <w:szCs w:val="18"/>
              </w:rPr>
              <w:t xml:space="preserve"> WPCA</w:t>
            </w:r>
          </w:p>
        </w:tc>
      </w:tr>
      <w:tr w:rsidR="00764E41" w:rsidTr="00E821AB">
        <w:trPr>
          <w:trHeight w:val="2304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E41" w:rsidRPr="003E7CE8" w:rsidRDefault="00764E41" w:rsidP="00764E41">
            <w:pPr>
              <w:pStyle w:val="BodyText3"/>
              <w:jc w:val="center"/>
              <w:rPr>
                <w:rFonts w:ascii="Wingdings" w:hAnsi="Wingdings"/>
                <w:sz w:val="28"/>
                <w:szCs w:val="28"/>
              </w:rPr>
            </w:pPr>
            <w:r w:rsidRPr="003E7CE8">
              <w:rPr>
                <w:rFonts w:ascii="Wingdings" w:hAnsi="Wingdings"/>
                <w:sz w:val="28"/>
                <w:szCs w:val="28"/>
              </w:rPr>
              <w:lastRenderedPageBreak/>
              <w:t>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1AB" w:rsidRPr="00E821AB" w:rsidRDefault="00E821AB" w:rsidP="00E821AB">
            <w:pPr>
              <w:pStyle w:val="BodyText3"/>
              <w:ind w:right="72"/>
              <w:rPr>
                <w:szCs w:val="22"/>
              </w:rPr>
            </w:pPr>
            <w:r w:rsidRPr="00E821AB">
              <w:rPr>
                <w:b/>
                <w:szCs w:val="22"/>
              </w:rPr>
              <w:t>Garage Floor Drains:</w:t>
            </w:r>
            <w:r w:rsidRPr="00E821AB">
              <w:rPr>
                <w:szCs w:val="22"/>
              </w:rPr>
              <w:t xml:space="preserve"> </w:t>
            </w:r>
          </w:p>
          <w:p w:rsidR="00E821AB" w:rsidRDefault="00E821AB" w:rsidP="00E821AB">
            <w:pPr>
              <w:pStyle w:val="BodyText3"/>
              <w:ind w:right="72"/>
              <w:rPr>
                <w:szCs w:val="22"/>
              </w:rPr>
            </w:pPr>
            <w:r w:rsidRPr="00E821AB">
              <w:rPr>
                <w:szCs w:val="22"/>
              </w:rPr>
              <w:t>If garage floor drains exist or are proposed as part of the project, an oil / water separator connected to the City sanitary sewer system would be required and approved by the Connecticut Department of Energy and Environmental Protection and WPCA.</w:t>
            </w:r>
            <w:r>
              <w:rPr>
                <w:szCs w:val="22"/>
              </w:rPr>
              <w:t xml:space="preserve"> If applicable, submit the following:</w:t>
            </w:r>
          </w:p>
          <w:p w:rsidR="00E821AB" w:rsidRDefault="00E821AB" w:rsidP="00E821AB">
            <w:pPr>
              <w:pStyle w:val="BodyText3"/>
              <w:numPr>
                <w:ilvl w:val="0"/>
                <w:numId w:val="27"/>
              </w:numPr>
              <w:ind w:right="72"/>
              <w:rPr>
                <w:szCs w:val="22"/>
              </w:rPr>
            </w:pPr>
            <w:r w:rsidRPr="007639C0">
              <w:rPr>
                <w:szCs w:val="22"/>
              </w:rPr>
              <w:t>Identify size and location of oil/</w:t>
            </w:r>
            <w:r>
              <w:rPr>
                <w:szCs w:val="22"/>
              </w:rPr>
              <w:t>water separator</w:t>
            </w:r>
          </w:p>
          <w:p w:rsidR="00E821AB" w:rsidRDefault="00E821AB" w:rsidP="00E821AB">
            <w:pPr>
              <w:pStyle w:val="BodyText3"/>
              <w:numPr>
                <w:ilvl w:val="0"/>
                <w:numId w:val="27"/>
              </w:numPr>
              <w:ind w:right="72"/>
              <w:rPr>
                <w:szCs w:val="22"/>
              </w:rPr>
            </w:pPr>
            <w:r w:rsidRPr="003B1157">
              <w:rPr>
                <w:szCs w:val="22"/>
              </w:rPr>
              <w:t xml:space="preserve">Include </w:t>
            </w:r>
            <w:r w:rsidRPr="007639C0">
              <w:rPr>
                <w:szCs w:val="22"/>
              </w:rPr>
              <w:t>oil/</w:t>
            </w:r>
            <w:r>
              <w:rPr>
                <w:szCs w:val="22"/>
              </w:rPr>
              <w:t>water separator</w:t>
            </w:r>
            <w:r w:rsidRPr="003B1157">
              <w:rPr>
                <w:szCs w:val="22"/>
              </w:rPr>
              <w:t xml:space="preserve"> details</w:t>
            </w:r>
            <w:r>
              <w:rPr>
                <w:szCs w:val="22"/>
              </w:rPr>
              <w:t xml:space="preserve"> (cut sheets / shop drawings)</w:t>
            </w:r>
          </w:p>
          <w:p w:rsidR="00764E41" w:rsidRPr="00EB348E" w:rsidRDefault="00E821AB" w:rsidP="00E821AB">
            <w:pPr>
              <w:pStyle w:val="BodyText3"/>
              <w:numPr>
                <w:ilvl w:val="0"/>
                <w:numId w:val="27"/>
              </w:numPr>
              <w:ind w:right="72"/>
              <w:rPr>
                <w:szCs w:val="22"/>
              </w:rPr>
            </w:pPr>
            <w:r w:rsidRPr="00D41CDE">
              <w:rPr>
                <w:szCs w:val="22"/>
              </w:rPr>
              <w:t xml:space="preserve">Include </w:t>
            </w:r>
            <w:r>
              <w:rPr>
                <w:szCs w:val="22"/>
              </w:rPr>
              <w:t xml:space="preserve">all </w:t>
            </w:r>
            <w:r w:rsidRPr="00D41CDE">
              <w:rPr>
                <w:szCs w:val="22"/>
              </w:rPr>
              <w:t xml:space="preserve">plumbing </w:t>
            </w:r>
            <w:r>
              <w:rPr>
                <w:szCs w:val="22"/>
              </w:rPr>
              <w:t xml:space="preserve">to/from </w:t>
            </w:r>
            <w:r w:rsidRPr="007639C0">
              <w:rPr>
                <w:szCs w:val="22"/>
              </w:rPr>
              <w:t>oil/</w:t>
            </w:r>
            <w:r>
              <w:rPr>
                <w:szCs w:val="22"/>
              </w:rPr>
              <w:t>water separator</w:t>
            </w:r>
            <w:r w:rsidRPr="00D41CDE">
              <w:rPr>
                <w:szCs w:val="22"/>
              </w:rPr>
              <w:t xml:space="preserve"> on drawings</w:t>
            </w:r>
          </w:p>
        </w:tc>
      </w:tr>
      <w:tr w:rsidR="002142DF" w:rsidTr="00A64F64">
        <w:trPr>
          <w:trHeight w:val="3744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2DF" w:rsidRPr="003E7CE8" w:rsidRDefault="002142DF" w:rsidP="002142DF">
            <w:pPr>
              <w:pStyle w:val="BodyText3"/>
              <w:jc w:val="center"/>
              <w:rPr>
                <w:rFonts w:ascii="Wingdings" w:hAnsi="Wingdings"/>
                <w:sz w:val="28"/>
                <w:szCs w:val="28"/>
              </w:rPr>
            </w:pPr>
            <w:r w:rsidRPr="003E7CE8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2DF" w:rsidRPr="0094541D" w:rsidRDefault="002142DF" w:rsidP="002142DF">
            <w:pPr>
              <w:pStyle w:val="BodyText3"/>
              <w:ind w:right="72"/>
              <w:rPr>
                <w:b/>
                <w:szCs w:val="22"/>
              </w:rPr>
            </w:pPr>
            <w:r w:rsidRPr="0094541D">
              <w:rPr>
                <w:b/>
                <w:szCs w:val="22"/>
              </w:rPr>
              <w:t>Covered and Uncovered Parking:</w:t>
            </w:r>
          </w:p>
          <w:p w:rsidR="002142DF" w:rsidRPr="0094541D" w:rsidRDefault="002142DF" w:rsidP="002142DF">
            <w:pPr>
              <w:pStyle w:val="BodyText3"/>
              <w:numPr>
                <w:ilvl w:val="1"/>
                <w:numId w:val="28"/>
              </w:numPr>
              <w:ind w:left="792" w:right="72"/>
              <w:rPr>
                <w:szCs w:val="22"/>
              </w:rPr>
            </w:pPr>
            <w:r w:rsidRPr="0094541D">
              <w:rPr>
                <w:szCs w:val="22"/>
              </w:rPr>
              <w:t>Storm drain systems within covered parking areas must be designed, inspected, and final acceptance signed and sealed by a professional engineer licensed in the State of Connecticut.  The storm drain systems shall have pretreatment (i.e. oil/water separator) and discharge into the sanitary sewer system in accordance with the State of Connecticut Department of Energy and Environmental Protection (</w:t>
            </w:r>
            <w:proofErr w:type="spellStart"/>
            <w:r w:rsidRPr="0094541D">
              <w:rPr>
                <w:szCs w:val="22"/>
              </w:rPr>
              <w:t>CTDEEP</w:t>
            </w:r>
            <w:proofErr w:type="spellEnd"/>
            <w:r w:rsidRPr="0094541D">
              <w:rPr>
                <w:szCs w:val="22"/>
              </w:rPr>
              <w:t>) and City of Norwalk requirements.</w:t>
            </w:r>
          </w:p>
          <w:p w:rsidR="002142DF" w:rsidRPr="0094541D" w:rsidRDefault="002142DF" w:rsidP="002142DF">
            <w:pPr>
              <w:pStyle w:val="BodyText3"/>
              <w:ind w:left="792" w:right="72"/>
              <w:rPr>
                <w:szCs w:val="22"/>
              </w:rPr>
            </w:pPr>
          </w:p>
          <w:p w:rsidR="002142DF" w:rsidRPr="0094541D" w:rsidRDefault="002142DF" w:rsidP="002142DF">
            <w:pPr>
              <w:pStyle w:val="BodyText3"/>
              <w:numPr>
                <w:ilvl w:val="1"/>
                <w:numId w:val="28"/>
              </w:numPr>
              <w:ind w:left="792" w:right="72"/>
              <w:rPr>
                <w:szCs w:val="22"/>
              </w:rPr>
            </w:pPr>
            <w:r w:rsidRPr="0094541D">
              <w:rPr>
                <w:szCs w:val="22"/>
              </w:rPr>
              <w:t xml:space="preserve">Industrial Pretreatment Program registration and a </w:t>
            </w:r>
            <w:proofErr w:type="spellStart"/>
            <w:r w:rsidRPr="0094541D">
              <w:rPr>
                <w:szCs w:val="22"/>
              </w:rPr>
              <w:t>CTDEEP</w:t>
            </w:r>
            <w:proofErr w:type="spellEnd"/>
            <w:r w:rsidRPr="0094541D">
              <w:rPr>
                <w:szCs w:val="22"/>
              </w:rPr>
              <w:t xml:space="preserve"> Miscellaneous General Permit (</w:t>
            </w:r>
            <w:proofErr w:type="spellStart"/>
            <w:r w:rsidRPr="0094541D">
              <w:rPr>
                <w:szCs w:val="22"/>
              </w:rPr>
              <w:t>MIU</w:t>
            </w:r>
            <w:proofErr w:type="spellEnd"/>
            <w:r w:rsidRPr="0094541D">
              <w:rPr>
                <w:szCs w:val="22"/>
              </w:rPr>
              <w:t>) application for the discharge of the oil/water separator to the sanitary sewer is required.  Please contact Christopher Cavaliere at (203) 854-3235 to fulfill this condition.</w:t>
            </w:r>
          </w:p>
          <w:p w:rsidR="002142DF" w:rsidRPr="0094541D" w:rsidRDefault="002142DF" w:rsidP="002142DF">
            <w:pPr>
              <w:pStyle w:val="BodyText3"/>
              <w:ind w:left="792" w:right="72"/>
              <w:rPr>
                <w:szCs w:val="22"/>
              </w:rPr>
            </w:pPr>
          </w:p>
          <w:p w:rsidR="002142DF" w:rsidRPr="00A64F64" w:rsidRDefault="002142DF" w:rsidP="002142DF">
            <w:pPr>
              <w:pStyle w:val="BodyText3"/>
              <w:numPr>
                <w:ilvl w:val="1"/>
                <w:numId w:val="28"/>
              </w:numPr>
              <w:ind w:left="792" w:right="72"/>
              <w:rPr>
                <w:szCs w:val="22"/>
              </w:rPr>
            </w:pPr>
            <w:r w:rsidRPr="0094541D">
              <w:rPr>
                <w:szCs w:val="22"/>
              </w:rPr>
              <w:t>Uncovered parking areas are not permitted to discharge into the sanitary sewer.</w:t>
            </w:r>
          </w:p>
        </w:tc>
      </w:tr>
    </w:tbl>
    <w:p w:rsidR="00CF2299" w:rsidRDefault="00CF2299" w:rsidP="007639C0">
      <w:pPr>
        <w:jc w:val="both"/>
        <w:rPr>
          <w:sz w:val="22"/>
          <w:szCs w:val="22"/>
        </w:rPr>
      </w:pPr>
    </w:p>
    <w:sectPr w:rsidR="00CF2299" w:rsidSect="00FF6CC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152" w:left="144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D7" w:rsidRDefault="000536D7" w:rsidP="00651363">
      <w:r>
        <w:separator/>
      </w:r>
    </w:p>
  </w:endnote>
  <w:endnote w:type="continuationSeparator" w:id="0">
    <w:p w:rsidR="000536D7" w:rsidRDefault="000536D7" w:rsidP="006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utur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0C" w:rsidRDefault="004165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3B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3B0C" w:rsidRDefault="009C3B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0C" w:rsidRDefault="009C3B0C" w:rsidP="00981B12">
    <w:pPr>
      <w:autoSpaceDE w:val="0"/>
      <w:autoSpaceDN w:val="0"/>
      <w:adjustRightInd w:val="0"/>
      <w:rPr>
        <w:rFonts w:ascii="Futura" w:hAnsi="Futura" w:cs="Futura"/>
        <w:color w:val="012EFA"/>
        <w:sz w:val="18"/>
        <w:szCs w:val="18"/>
      </w:rPr>
    </w:pPr>
  </w:p>
  <w:p w:rsidR="009C3B0C" w:rsidRDefault="009C3B0C" w:rsidP="00981B12">
    <w:pPr>
      <w:autoSpaceDE w:val="0"/>
      <w:autoSpaceDN w:val="0"/>
      <w:adjustRightInd w:val="0"/>
      <w:rPr>
        <w:rFonts w:ascii="Futura" w:hAnsi="Futura" w:cs="Futura"/>
        <w:color w:val="012EFA"/>
        <w:sz w:val="18"/>
        <w:szCs w:val="18"/>
      </w:rPr>
    </w:pPr>
  </w:p>
  <w:p w:rsidR="009C3B0C" w:rsidRDefault="00D41CDE" w:rsidP="00981B12">
    <w:pPr>
      <w:autoSpaceDE w:val="0"/>
      <w:autoSpaceDN w:val="0"/>
      <w:adjustRightInd w:val="0"/>
      <w:rPr>
        <w:rFonts w:ascii="Futura" w:hAnsi="Futura" w:cs="Futura"/>
        <w:color w:val="012EFA"/>
        <w:sz w:val="18"/>
        <w:szCs w:val="18"/>
      </w:rPr>
    </w:pPr>
    <w:r>
      <w:rPr>
        <w:rFonts w:ascii="Futura" w:hAnsi="Futura" w:cs="Futura"/>
        <w:noProof/>
        <w:color w:val="012EFA"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36829</wp:posOffset>
              </wp:positionV>
              <wp:extent cx="6743700" cy="0"/>
              <wp:effectExtent l="0" t="0" r="19050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2EF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71E40" id="Line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95pt,2.9pt" to="499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" strokecolor="#012efa" strokeweight="1pt"/>
          </w:pict>
        </mc:Fallback>
      </mc:AlternateContent>
    </w:r>
  </w:p>
  <w:p w:rsidR="009C3B0C" w:rsidRPr="009F6EB3" w:rsidRDefault="009C3B0C" w:rsidP="00AB4BD2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 w:rsidRPr="009F6EB3">
      <w:rPr>
        <w:rFonts w:ascii="Arial" w:hAnsi="Arial" w:cs="Arial"/>
        <w:color w:val="012EFA"/>
        <w:sz w:val="16"/>
        <w:szCs w:val="16"/>
      </w:rPr>
      <w:t xml:space="preserve">15 South Smith Street, Second Floor, Norwalk, CT 06855    </w:t>
    </w:r>
    <w:r w:rsidRPr="00DA00E9">
      <w:rPr>
        <w:rFonts w:ascii="Wingdings" w:hAnsi="Wingdings" w:cs="Wingdings"/>
        <w:color w:val="4FB2FF"/>
        <w:sz w:val="16"/>
        <w:szCs w:val="16"/>
      </w:rPr>
      <w:t></w:t>
    </w:r>
    <w:r w:rsidRPr="009F6EB3">
      <w:rPr>
        <w:rFonts w:ascii="Arial" w:hAnsi="Arial" w:cs="Arial"/>
        <w:color w:val="012EFA"/>
        <w:sz w:val="16"/>
        <w:szCs w:val="16"/>
      </w:rPr>
      <w:t xml:space="preserve">    Phone: (203) 854-</w:t>
    </w:r>
    <w:r w:rsidR="00764E41">
      <w:rPr>
        <w:rFonts w:ascii="Arial" w:hAnsi="Arial" w:cs="Arial"/>
        <w:color w:val="012EFA"/>
        <w:sz w:val="16"/>
        <w:szCs w:val="16"/>
      </w:rPr>
      <w:t>3228</w:t>
    </w:r>
    <w:r w:rsidRPr="009F6EB3">
      <w:rPr>
        <w:rFonts w:ascii="Arial" w:hAnsi="Arial" w:cs="Arial"/>
        <w:color w:val="012EFA"/>
        <w:sz w:val="16"/>
        <w:szCs w:val="16"/>
      </w:rPr>
      <w:t xml:space="preserve">    </w:t>
    </w:r>
    <w:r w:rsidRPr="00DA00E9">
      <w:rPr>
        <w:rFonts w:ascii="Wingdings" w:hAnsi="Wingdings" w:cs="Wingdings"/>
        <w:color w:val="4FB2FF"/>
        <w:sz w:val="16"/>
        <w:szCs w:val="16"/>
      </w:rPr>
      <w:t></w:t>
    </w:r>
    <w:r w:rsidRPr="009F6EB3">
      <w:rPr>
        <w:rFonts w:ascii="Arial" w:hAnsi="Arial" w:cs="Arial"/>
        <w:color w:val="012EFA"/>
        <w:sz w:val="16"/>
        <w:szCs w:val="16"/>
      </w:rPr>
      <w:t xml:space="preserve">    Fax: (203) 854-3224</w:t>
    </w:r>
  </w:p>
  <w:p w:rsidR="009C3B0C" w:rsidRDefault="009C3B0C">
    <w:pPr>
      <w:pStyle w:val="Footer"/>
      <w:ind w:right="360"/>
      <w:rPr>
        <w:rFonts w:ascii="Arial Black" w:hAnsi="Arial Black"/>
        <w:color w:val="0000FF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0C" w:rsidRDefault="009C3B0C" w:rsidP="00651363">
    <w:pPr>
      <w:autoSpaceDE w:val="0"/>
      <w:autoSpaceDN w:val="0"/>
      <w:adjustRightInd w:val="0"/>
      <w:jc w:val="right"/>
      <w:rPr>
        <w:rFonts w:ascii="Futura" w:hAnsi="Futura" w:cs="Futura"/>
        <w:color w:val="012EFA"/>
        <w:sz w:val="18"/>
        <w:szCs w:val="18"/>
      </w:rPr>
    </w:pPr>
  </w:p>
  <w:p w:rsidR="009C3B0C" w:rsidRDefault="009C3B0C" w:rsidP="00F17B70">
    <w:pPr>
      <w:autoSpaceDE w:val="0"/>
      <w:autoSpaceDN w:val="0"/>
      <w:adjustRightInd w:val="0"/>
      <w:rPr>
        <w:rFonts w:ascii="Futura" w:hAnsi="Futura" w:cs="Futura"/>
        <w:color w:val="012EFA"/>
        <w:sz w:val="18"/>
        <w:szCs w:val="18"/>
      </w:rPr>
    </w:pPr>
  </w:p>
  <w:p w:rsidR="009C3B0C" w:rsidRDefault="00D41CDE" w:rsidP="00F17B70">
    <w:pPr>
      <w:autoSpaceDE w:val="0"/>
      <w:autoSpaceDN w:val="0"/>
      <w:adjustRightInd w:val="0"/>
      <w:rPr>
        <w:rFonts w:ascii="Futura" w:hAnsi="Futura" w:cs="Futura"/>
        <w:color w:val="012EFA"/>
        <w:sz w:val="18"/>
        <w:szCs w:val="18"/>
      </w:rPr>
    </w:pPr>
    <w:r>
      <w:rPr>
        <w:rFonts w:ascii="Futura" w:hAnsi="Futura" w:cs="Futura"/>
        <w:noProof/>
        <w:color w:val="012EFA"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36829</wp:posOffset>
              </wp:positionV>
              <wp:extent cx="6743700" cy="0"/>
              <wp:effectExtent l="0" t="0" r="1905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2EF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F2384" id="Line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95pt,2.9pt" to="499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" strokecolor="#012efa" strokeweight="1pt"/>
          </w:pict>
        </mc:Fallback>
      </mc:AlternateContent>
    </w:r>
  </w:p>
  <w:p w:rsidR="009C3B0C" w:rsidRPr="009F6EB3" w:rsidRDefault="009C3B0C" w:rsidP="00F17B70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 w:rsidRPr="009F6EB3">
      <w:rPr>
        <w:rFonts w:ascii="Arial" w:hAnsi="Arial" w:cs="Arial"/>
        <w:color w:val="012EFA"/>
        <w:sz w:val="16"/>
        <w:szCs w:val="16"/>
      </w:rPr>
      <w:t xml:space="preserve">15 South Smith Street, Second Floor, Norwalk, CT 06855    </w:t>
    </w:r>
    <w:r w:rsidRPr="00DA00E9">
      <w:rPr>
        <w:rFonts w:ascii="Wingdings" w:hAnsi="Wingdings" w:cs="Wingdings"/>
        <w:color w:val="4FB2FF"/>
        <w:sz w:val="16"/>
        <w:szCs w:val="16"/>
      </w:rPr>
      <w:t></w:t>
    </w:r>
    <w:r w:rsidRPr="009F6EB3">
      <w:rPr>
        <w:rFonts w:ascii="Arial" w:hAnsi="Arial" w:cs="Arial"/>
        <w:color w:val="012EFA"/>
        <w:sz w:val="16"/>
        <w:szCs w:val="16"/>
      </w:rPr>
      <w:t xml:space="preserve">    Phone: (203) 854-</w:t>
    </w:r>
    <w:r w:rsidR="00764E41">
      <w:rPr>
        <w:rFonts w:ascii="Arial" w:hAnsi="Arial" w:cs="Arial"/>
        <w:color w:val="012EFA"/>
        <w:sz w:val="16"/>
        <w:szCs w:val="16"/>
      </w:rPr>
      <w:t>3228</w:t>
    </w:r>
    <w:r w:rsidRPr="009F6EB3">
      <w:rPr>
        <w:rFonts w:ascii="Arial" w:hAnsi="Arial" w:cs="Arial"/>
        <w:color w:val="012EFA"/>
        <w:sz w:val="16"/>
        <w:szCs w:val="16"/>
      </w:rPr>
      <w:t xml:space="preserve">    </w:t>
    </w:r>
    <w:r w:rsidRPr="00DA00E9">
      <w:rPr>
        <w:rFonts w:ascii="Wingdings" w:hAnsi="Wingdings" w:cs="Wingdings"/>
        <w:color w:val="4FB2FF"/>
        <w:sz w:val="16"/>
        <w:szCs w:val="16"/>
      </w:rPr>
      <w:t></w:t>
    </w:r>
    <w:r w:rsidRPr="009F6EB3">
      <w:rPr>
        <w:rFonts w:ascii="Arial" w:hAnsi="Arial" w:cs="Arial"/>
        <w:color w:val="012EFA"/>
        <w:sz w:val="16"/>
        <w:szCs w:val="16"/>
      </w:rPr>
      <w:t xml:space="preserve">    Fax: (203) 854-3224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D7" w:rsidRDefault="000536D7" w:rsidP="00651363">
      <w:r>
        <w:separator/>
      </w:r>
    </w:p>
  </w:footnote>
  <w:footnote w:type="continuationSeparator" w:id="0">
    <w:p w:rsidR="000536D7" w:rsidRDefault="000536D7" w:rsidP="00651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0C" w:rsidRDefault="009C3B0C" w:rsidP="009553A7">
    <w:pPr>
      <w:pStyle w:val="Header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-38100</wp:posOffset>
          </wp:positionV>
          <wp:extent cx="1143000" cy="333375"/>
          <wp:effectExtent l="19050" t="0" r="0" b="0"/>
          <wp:wrapTight wrapText="bothSides">
            <wp:wrapPolygon edited="0">
              <wp:start x="-360" y="0"/>
              <wp:lineTo x="-360" y="20983"/>
              <wp:lineTo x="21600" y="20983"/>
              <wp:lineTo x="21600" y="0"/>
              <wp:lineTo x="-360" y="0"/>
            </wp:wrapPolygon>
          </wp:wrapTight>
          <wp:docPr id="10" name="Picture 10" descr="logo_wpc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wpca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10AC">
      <w:rPr>
        <w:noProof/>
      </w:rPr>
      <w:t>Page 2</w:t>
    </w:r>
  </w:p>
  <w:p w:rsidR="009C3B0C" w:rsidRDefault="009C3B0C">
    <w:pPr>
      <w:pStyle w:val="Header"/>
      <w:jc w:val="center"/>
      <w:rPr>
        <w:rFonts w:ascii="Arial Black" w:hAnsi="Arial Black"/>
        <w:color w:val="0000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0C" w:rsidRPr="00E12B6F" w:rsidRDefault="009C3B0C" w:rsidP="00F17B70">
    <w:pPr>
      <w:pStyle w:val="Header"/>
      <w:tabs>
        <w:tab w:val="clear" w:pos="4320"/>
        <w:tab w:val="clear" w:pos="8640"/>
      </w:tabs>
      <w:ind w:left="7920" w:right="-720"/>
      <w:rPr>
        <w:rFonts w:ascii="Arial Black" w:hAnsi="Arial Black" w:cs="Arial"/>
        <w:noProof/>
        <w:color w:val="00B4CC"/>
      </w:rPr>
    </w:pPr>
    <w:r>
      <w:rPr>
        <w:rFonts w:ascii="Arial Black" w:hAnsi="Arial Black" w:cs="Arial"/>
        <w:noProof/>
        <w:color w:val="00B4CC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-53340</wp:posOffset>
          </wp:positionV>
          <wp:extent cx="2137410" cy="627380"/>
          <wp:effectExtent l="19050" t="0" r="0" b="0"/>
          <wp:wrapTight wrapText="bothSides">
            <wp:wrapPolygon edited="0">
              <wp:start x="-193" y="0"/>
              <wp:lineTo x="-193" y="20988"/>
              <wp:lineTo x="21561" y="20988"/>
              <wp:lineTo x="21561" y="0"/>
              <wp:lineTo x="-193" y="0"/>
            </wp:wrapPolygon>
          </wp:wrapTight>
          <wp:docPr id="1" name="Picture 1" descr="logo_wpc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pca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City">
      <w:smartTag w:uri="urn:schemas-microsoft-com:office:smarttags" w:element="place">
        <w:r w:rsidRPr="00E12B6F">
          <w:rPr>
            <w:rFonts w:ascii="Arial Black" w:hAnsi="Arial Black" w:cs="Arial"/>
            <w:noProof/>
            <w:color w:val="4FB2FF"/>
          </w:rPr>
          <w:t>Norwalk</w:t>
        </w:r>
      </w:smartTag>
    </w:smartTag>
    <w:r w:rsidRPr="00E12B6F">
      <w:rPr>
        <w:rFonts w:ascii="Arial Black" w:hAnsi="Arial Black" w:cs="Arial"/>
        <w:noProof/>
        <w:color w:val="4FB2FF"/>
      </w:rPr>
      <w:t xml:space="preserve"> Water</w:t>
    </w:r>
  </w:p>
  <w:p w:rsidR="009C3B0C" w:rsidRPr="00E12B6F" w:rsidRDefault="009C3B0C" w:rsidP="00F17B70">
    <w:pPr>
      <w:pStyle w:val="Header"/>
      <w:tabs>
        <w:tab w:val="clear" w:pos="4320"/>
        <w:tab w:val="clear" w:pos="8640"/>
      </w:tabs>
      <w:ind w:left="7920" w:right="-720"/>
      <w:rPr>
        <w:rFonts w:ascii="Arial Black" w:hAnsi="Arial Black" w:cs="Arial"/>
        <w:noProof/>
        <w:color w:val="00B4CC"/>
      </w:rPr>
    </w:pPr>
    <w:r w:rsidRPr="00E12B6F">
      <w:rPr>
        <w:rFonts w:ascii="Arial Black" w:hAnsi="Arial Black" w:cs="Arial"/>
        <w:noProof/>
        <w:color w:val="4FB2FF"/>
      </w:rPr>
      <w:t>Pollution Control</w:t>
    </w:r>
  </w:p>
  <w:p w:rsidR="009C3B0C" w:rsidRPr="00D82193" w:rsidRDefault="009C3B0C" w:rsidP="00F17B70">
    <w:pPr>
      <w:pStyle w:val="Header"/>
      <w:tabs>
        <w:tab w:val="clear" w:pos="4320"/>
        <w:tab w:val="clear" w:pos="8640"/>
      </w:tabs>
      <w:ind w:left="7920" w:right="-720"/>
      <w:rPr>
        <w:rFonts w:ascii="Arial" w:hAnsi="Arial" w:cs="Arial"/>
        <w:b/>
        <w:noProof/>
        <w:color w:val="4FB2FF"/>
      </w:rPr>
    </w:pPr>
    <w:r w:rsidRPr="00E12B6F">
      <w:rPr>
        <w:rFonts w:ascii="Arial Black" w:hAnsi="Arial Black" w:cs="Arial"/>
        <w:noProof/>
        <w:color w:val="4FB2FF"/>
      </w:rPr>
      <w:t>Authority</w:t>
    </w:r>
  </w:p>
  <w:p w:rsidR="009C3B0C" w:rsidRPr="00A456E7" w:rsidRDefault="009C3B0C" w:rsidP="00F17B70">
    <w:pPr>
      <w:pStyle w:val="Header"/>
      <w:tabs>
        <w:tab w:val="clear" w:pos="4320"/>
        <w:tab w:val="clear" w:pos="8640"/>
      </w:tabs>
      <w:ind w:left="7920" w:right="-720"/>
      <w:rPr>
        <w:rFonts w:ascii="Arial Black" w:hAnsi="Arial Black" w:cs="Arial"/>
        <w:noProof/>
        <w:color w:val="0099CC"/>
        <w:sz w:val="8"/>
        <w:szCs w:val="8"/>
      </w:rPr>
    </w:pPr>
  </w:p>
  <w:p w:rsidR="009C3B0C" w:rsidRPr="00DA00E9" w:rsidRDefault="009C3B0C" w:rsidP="00F17B70">
    <w:pPr>
      <w:pStyle w:val="Header"/>
      <w:ind w:left="7920" w:right="-720"/>
      <w:rPr>
        <w:rFonts w:ascii="Arial" w:hAnsi="Arial" w:cs="Arial"/>
        <w:color w:val="012EFA"/>
        <w:spacing w:val="6"/>
        <w:sz w:val="16"/>
        <w:szCs w:val="16"/>
      </w:rPr>
    </w:pPr>
    <w:r w:rsidRPr="00DA00E9">
      <w:rPr>
        <w:rFonts w:ascii="Arial" w:hAnsi="Arial" w:cs="Arial"/>
        <w:noProof/>
        <w:color w:val="012EFA"/>
        <w:spacing w:val="6"/>
        <w:sz w:val="16"/>
        <w:szCs w:val="16"/>
      </w:rPr>
      <w:t>www.wpcanorwalk.org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26C"/>
    <w:multiLevelType w:val="hybridMultilevel"/>
    <w:tmpl w:val="D1623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7AF9"/>
    <w:multiLevelType w:val="hybridMultilevel"/>
    <w:tmpl w:val="CB9A5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0C8B"/>
    <w:multiLevelType w:val="hybridMultilevel"/>
    <w:tmpl w:val="94A4E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A33DD"/>
    <w:multiLevelType w:val="hybridMultilevel"/>
    <w:tmpl w:val="DFBEF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00187"/>
    <w:multiLevelType w:val="hybridMultilevel"/>
    <w:tmpl w:val="42D43AC4"/>
    <w:lvl w:ilvl="0" w:tplc="96D613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F609A"/>
    <w:multiLevelType w:val="hybridMultilevel"/>
    <w:tmpl w:val="A0649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0E296E"/>
    <w:multiLevelType w:val="hybridMultilevel"/>
    <w:tmpl w:val="45C4D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60A4E"/>
    <w:multiLevelType w:val="hybridMultilevel"/>
    <w:tmpl w:val="F55095DA"/>
    <w:lvl w:ilvl="0" w:tplc="5F00D6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676C2"/>
    <w:multiLevelType w:val="hybridMultilevel"/>
    <w:tmpl w:val="615805B8"/>
    <w:lvl w:ilvl="0" w:tplc="04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6BC2A65"/>
    <w:multiLevelType w:val="hybridMultilevel"/>
    <w:tmpl w:val="D8B8C3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E92AD9"/>
    <w:multiLevelType w:val="hybridMultilevel"/>
    <w:tmpl w:val="470E4E14"/>
    <w:lvl w:ilvl="0" w:tplc="58EE265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7383"/>
    <w:multiLevelType w:val="hybridMultilevel"/>
    <w:tmpl w:val="658E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E27F6"/>
    <w:multiLevelType w:val="hybridMultilevel"/>
    <w:tmpl w:val="7F1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B400D"/>
    <w:multiLevelType w:val="hybridMultilevel"/>
    <w:tmpl w:val="7A3A85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DA5A7A"/>
    <w:multiLevelType w:val="hybridMultilevel"/>
    <w:tmpl w:val="8B1407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FA542A"/>
    <w:multiLevelType w:val="hybridMultilevel"/>
    <w:tmpl w:val="CFFC84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D007AA"/>
    <w:multiLevelType w:val="hybridMultilevel"/>
    <w:tmpl w:val="0FDA7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F5362"/>
    <w:multiLevelType w:val="hybridMultilevel"/>
    <w:tmpl w:val="2DF69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3227CE"/>
    <w:multiLevelType w:val="hybridMultilevel"/>
    <w:tmpl w:val="88328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03046"/>
    <w:multiLevelType w:val="hybridMultilevel"/>
    <w:tmpl w:val="69985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85C92"/>
    <w:multiLevelType w:val="hybridMultilevel"/>
    <w:tmpl w:val="7A3A85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653EBB"/>
    <w:multiLevelType w:val="hybridMultilevel"/>
    <w:tmpl w:val="DA3CE3A0"/>
    <w:lvl w:ilvl="0" w:tplc="16C24F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56041513"/>
    <w:multiLevelType w:val="hybridMultilevel"/>
    <w:tmpl w:val="4A6ED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E04200"/>
    <w:multiLevelType w:val="hybridMultilevel"/>
    <w:tmpl w:val="B2D2BC6A"/>
    <w:lvl w:ilvl="0" w:tplc="D00AC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F79D0"/>
    <w:multiLevelType w:val="hybridMultilevel"/>
    <w:tmpl w:val="D85852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9E7F95"/>
    <w:multiLevelType w:val="hybridMultilevel"/>
    <w:tmpl w:val="8E246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43848"/>
    <w:multiLevelType w:val="hybridMultilevel"/>
    <w:tmpl w:val="AC42E9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F20869"/>
    <w:multiLevelType w:val="hybridMultilevel"/>
    <w:tmpl w:val="D54EC7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14"/>
  </w:num>
  <w:num w:numId="5">
    <w:abstractNumId w:val="17"/>
  </w:num>
  <w:num w:numId="6">
    <w:abstractNumId w:val="9"/>
  </w:num>
  <w:num w:numId="7">
    <w:abstractNumId w:val="4"/>
  </w:num>
  <w:num w:numId="8">
    <w:abstractNumId w:val="22"/>
  </w:num>
  <w:num w:numId="9">
    <w:abstractNumId w:val="7"/>
  </w:num>
  <w:num w:numId="10">
    <w:abstractNumId w:val="19"/>
  </w:num>
  <w:num w:numId="11">
    <w:abstractNumId w:val="5"/>
  </w:num>
  <w:num w:numId="12">
    <w:abstractNumId w:val="0"/>
  </w:num>
  <w:num w:numId="13">
    <w:abstractNumId w:val="16"/>
  </w:num>
  <w:num w:numId="14">
    <w:abstractNumId w:val="24"/>
  </w:num>
  <w:num w:numId="15">
    <w:abstractNumId w:val="1"/>
  </w:num>
  <w:num w:numId="16">
    <w:abstractNumId w:val="15"/>
  </w:num>
  <w:num w:numId="17">
    <w:abstractNumId w:val="21"/>
  </w:num>
  <w:num w:numId="18">
    <w:abstractNumId w:val="20"/>
  </w:num>
  <w:num w:numId="19">
    <w:abstractNumId w:val="13"/>
  </w:num>
  <w:num w:numId="20">
    <w:abstractNumId w:val="12"/>
  </w:num>
  <w:num w:numId="21">
    <w:abstractNumId w:val="11"/>
  </w:num>
  <w:num w:numId="22">
    <w:abstractNumId w:val="10"/>
  </w:num>
  <w:num w:numId="23">
    <w:abstractNumId w:val="8"/>
  </w:num>
  <w:num w:numId="24">
    <w:abstractNumId w:val="18"/>
  </w:num>
  <w:num w:numId="25">
    <w:abstractNumId w:val="3"/>
  </w:num>
  <w:num w:numId="26">
    <w:abstractNumId w:val="2"/>
  </w:num>
  <w:num w:numId="27">
    <w:abstractNumId w:val="6"/>
  </w:num>
  <w:num w:numId="28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69"/>
    <w:rsid w:val="000004C4"/>
    <w:rsid w:val="00003AFF"/>
    <w:rsid w:val="0001083A"/>
    <w:rsid w:val="00013C3A"/>
    <w:rsid w:val="000218E9"/>
    <w:rsid w:val="00023210"/>
    <w:rsid w:val="00023E91"/>
    <w:rsid w:val="00025441"/>
    <w:rsid w:val="00027D3C"/>
    <w:rsid w:val="00031C70"/>
    <w:rsid w:val="00040FFA"/>
    <w:rsid w:val="000536D7"/>
    <w:rsid w:val="00061B63"/>
    <w:rsid w:val="00062459"/>
    <w:rsid w:val="000726A7"/>
    <w:rsid w:val="00090E24"/>
    <w:rsid w:val="00091563"/>
    <w:rsid w:val="00091789"/>
    <w:rsid w:val="0009646E"/>
    <w:rsid w:val="00096A67"/>
    <w:rsid w:val="000A31A1"/>
    <w:rsid w:val="000B573E"/>
    <w:rsid w:val="000C0C78"/>
    <w:rsid w:val="000D07D3"/>
    <w:rsid w:val="000D0E6D"/>
    <w:rsid w:val="000D4607"/>
    <w:rsid w:val="000D6122"/>
    <w:rsid w:val="000E11F5"/>
    <w:rsid w:val="000E2F0D"/>
    <w:rsid w:val="000E3F39"/>
    <w:rsid w:val="000E490D"/>
    <w:rsid w:val="000F057C"/>
    <w:rsid w:val="001027A8"/>
    <w:rsid w:val="00104758"/>
    <w:rsid w:val="00104846"/>
    <w:rsid w:val="00114B53"/>
    <w:rsid w:val="00123686"/>
    <w:rsid w:val="001266CD"/>
    <w:rsid w:val="00140DAE"/>
    <w:rsid w:val="00143B8A"/>
    <w:rsid w:val="0014480D"/>
    <w:rsid w:val="00146D63"/>
    <w:rsid w:val="00161598"/>
    <w:rsid w:val="001678D5"/>
    <w:rsid w:val="0017106D"/>
    <w:rsid w:val="00177B23"/>
    <w:rsid w:val="001A1804"/>
    <w:rsid w:val="001A2675"/>
    <w:rsid w:val="001A3180"/>
    <w:rsid w:val="001B03E9"/>
    <w:rsid w:val="001D1858"/>
    <w:rsid w:val="001E0494"/>
    <w:rsid w:val="001E7C1E"/>
    <w:rsid w:val="001E7F61"/>
    <w:rsid w:val="002104B0"/>
    <w:rsid w:val="002142DF"/>
    <w:rsid w:val="0023035B"/>
    <w:rsid w:val="00232184"/>
    <w:rsid w:val="0023322C"/>
    <w:rsid w:val="0023491A"/>
    <w:rsid w:val="00237121"/>
    <w:rsid w:val="002402F3"/>
    <w:rsid w:val="00240DA2"/>
    <w:rsid w:val="00244B5F"/>
    <w:rsid w:val="002456E3"/>
    <w:rsid w:val="00251F21"/>
    <w:rsid w:val="002522F9"/>
    <w:rsid w:val="00254CD8"/>
    <w:rsid w:val="00282C6D"/>
    <w:rsid w:val="00293A1A"/>
    <w:rsid w:val="002947DF"/>
    <w:rsid w:val="002B27D7"/>
    <w:rsid w:val="002B326A"/>
    <w:rsid w:val="002C2571"/>
    <w:rsid w:val="002C2B2E"/>
    <w:rsid w:val="002C4991"/>
    <w:rsid w:val="002D334C"/>
    <w:rsid w:val="002E2744"/>
    <w:rsid w:val="002F0CAC"/>
    <w:rsid w:val="002F22DD"/>
    <w:rsid w:val="002F756B"/>
    <w:rsid w:val="00302850"/>
    <w:rsid w:val="00304350"/>
    <w:rsid w:val="00304EBC"/>
    <w:rsid w:val="00320468"/>
    <w:rsid w:val="00322C3D"/>
    <w:rsid w:val="0032357B"/>
    <w:rsid w:val="00331685"/>
    <w:rsid w:val="0033417F"/>
    <w:rsid w:val="0033457A"/>
    <w:rsid w:val="00336042"/>
    <w:rsid w:val="003545E8"/>
    <w:rsid w:val="00360A7B"/>
    <w:rsid w:val="003641D0"/>
    <w:rsid w:val="00365613"/>
    <w:rsid w:val="003727E1"/>
    <w:rsid w:val="0038262C"/>
    <w:rsid w:val="0038350C"/>
    <w:rsid w:val="00384EDE"/>
    <w:rsid w:val="003876ED"/>
    <w:rsid w:val="0038795F"/>
    <w:rsid w:val="00392B91"/>
    <w:rsid w:val="003A1140"/>
    <w:rsid w:val="003A38A4"/>
    <w:rsid w:val="003A3F9D"/>
    <w:rsid w:val="003B1157"/>
    <w:rsid w:val="003B188D"/>
    <w:rsid w:val="003B1BF2"/>
    <w:rsid w:val="003B3710"/>
    <w:rsid w:val="003B42A6"/>
    <w:rsid w:val="003C2C02"/>
    <w:rsid w:val="003C6F71"/>
    <w:rsid w:val="003D28A3"/>
    <w:rsid w:val="003D3F25"/>
    <w:rsid w:val="003D4E11"/>
    <w:rsid w:val="003E15DC"/>
    <w:rsid w:val="003E6C4E"/>
    <w:rsid w:val="003E7CE8"/>
    <w:rsid w:val="003F2E81"/>
    <w:rsid w:val="00404B88"/>
    <w:rsid w:val="00411DF2"/>
    <w:rsid w:val="004165A8"/>
    <w:rsid w:val="00425C47"/>
    <w:rsid w:val="0043750C"/>
    <w:rsid w:val="00440B7A"/>
    <w:rsid w:val="0044182A"/>
    <w:rsid w:val="004456E5"/>
    <w:rsid w:val="004472F7"/>
    <w:rsid w:val="00464373"/>
    <w:rsid w:val="004647F9"/>
    <w:rsid w:val="00466F13"/>
    <w:rsid w:val="0047740C"/>
    <w:rsid w:val="00484F65"/>
    <w:rsid w:val="004858CF"/>
    <w:rsid w:val="004939BB"/>
    <w:rsid w:val="004A0791"/>
    <w:rsid w:val="004A693E"/>
    <w:rsid w:val="004B4DF9"/>
    <w:rsid w:val="004C2994"/>
    <w:rsid w:val="004C3C23"/>
    <w:rsid w:val="004C5E7B"/>
    <w:rsid w:val="004D52DD"/>
    <w:rsid w:val="004D589F"/>
    <w:rsid w:val="004D5E36"/>
    <w:rsid w:val="004E1CB0"/>
    <w:rsid w:val="004E3FD8"/>
    <w:rsid w:val="004F68B4"/>
    <w:rsid w:val="00503B51"/>
    <w:rsid w:val="0050753B"/>
    <w:rsid w:val="00507F0C"/>
    <w:rsid w:val="00510725"/>
    <w:rsid w:val="005120D9"/>
    <w:rsid w:val="00522A18"/>
    <w:rsid w:val="00527F26"/>
    <w:rsid w:val="0053122E"/>
    <w:rsid w:val="0054185A"/>
    <w:rsid w:val="00557EE4"/>
    <w:rsid w:val="00564F0B"/>
    <w:rsid w:val="005707E3"/>
    <w:rsid w:val="00590A35"/>
    <w:rsid w:val="005935ED"/>
    <w:rsid w:val="005A0ECC"/>
    <w:rsid w:val="005A1E81"/>
    <w:rsid w:val="005A34A3"/>
    <w:rsid w:val="005B0C52"/>
    <w:rsid w:val="005B30E6"/>
    <w:rsid w:val="005B712C"/>
    <w:rsid w:val="005C7B0F"/>
    <w:rsid w:val="005D1EF5"/>
    <w:rsid w:val="005D756F"/>
    <w:rsid w:val="005D7EB9"/>
    <w:rsid w:val="005E339C"/>
    <w:rsid w:val="005E37D3"/>
    <w:rsid w:val="00600034"/>
    <w:rsid w:val="00606FC3"/>
    <w:rsid w:val="0061322D"/>
    <w:rsid w:val="00614AF4"/>
    <w:rsid w:val="00640324"/>
    <w:rsid w:val="006444AC"/>
    <w:rsid w:val="00645C85"/>
    <w:rsid w:val="0064651A"/>
    <w:rsid w:val="006472EE"/>
    <w:rsid w:val="00651363"/>
    <w:rsid w:val="00651C9A"/>
    <w:rsid w:val="0066288E"/>
    <w:rsid w:val="0066312B"/>
    <w:rsid w:val="00665171"/>
    <w:rsid w:val="00667845"/>
    <w:rsid w:val="006711D9"/>
    <w:rsid w:val="00671F3B"/>
    <w:rsid w:val="00674582"/>
    <w:rsid w:val="00675D1C"/>
    <w:rsid w:val="00676A7F"/>
    <w:rsid w:val="00677757"/>
    <w:rsid w:val="006821ED"/>
    <w:rsid w:val="00691680"/>
    <w:rsid w:val="00691745"/>
    <w:rsid w:val="006964DD"/>
    <w:rsid w:val="00697C8D"/>
    <w:rsid w:val="006A5540"/>
    <w:rsid w:val="006B5819"/>
    <w:rsid w:val="006B625E"/>
    <w:rsid w:val="006D204F"/>
    <w:rsid w:val="006D43F1"/>
    <w:rsid w:val="006D535B"/>
    <w:rsid w:val="006E6680"/>
    <w:rsid w:val="006F1BE2"/>
    <w:rsid w:val="00701A0C"/>
    <w:rsid w:val="00703C52"/>
    <w:rsid w:val="00712B3F"/>
    <w:rsid w:val="00712EB2"/>
    <w:rsid w:val="007248BB"/>
    <w:rsid w:val="00725D14"/>
    <w:rsid w:val="00727BAE"/>
    <w:rsid w:val="00744900"/>
    <w:rsid w:val="0075295E"/>
    <w:rsid w:val="00752DE5"/>
    <w:rsid w:val="00762642"/>
    <w:rsid w:val="00762743"/>
    <w:rsid w:val="007639C0"/>
    <w:rsid w:val="00764E41"/>
    <w:rsid w:val="007812F3"/>
    <w:rsid w:val="00790EF2"/>
    <w:rsid w:val="00793A69"/>
    <w:rsid w:val="00794143"/>
    <w:rsid w:val="007A6224"/>
    <w:rsid w:val="007A676F"/>
    <w:rsid w:val="007B2225"/>
    <w:rsid w:val="007B72BA"/>
    <w:rsid w:val="007C204B"/>
    <w:rsid w:val="007C23EF"/>
    <w:rsid w:val="007C6206"/>
    <w:rsid w:val="007C66E6"/>
    <w:rsid w:val="007D170D"/>
    <w:rsid w:val="007D3A3C"/>
    <w:rsid w:val="007D5701"/>
    <w:rsid w:val="007D671E"/>
    <w:rsid w:val="007E159B"/>
    <w:rsid w:val="007F3407"/>
    <w:rsid w:val="007F4EF8"/>
    <w:rsid w:val="007F7A11"/>
    <w:rsid w:val="00821034"/>
    <w:rsid w:val="0082347C"/>
    <w:rsid w:val="00834114"/>
    <w:rsid w:val="00835F83"/>
    <w:rsid w:val="0083687A"/>
    <w:rsid w:val="00841E79"/>
    <w:rsid w:val="008455EE"/>
    <w:rsid w:val="00856847"/>
    <w:rsid w:val="008569D6"/>
    <w:rsid w:val="00856D3F"/>
    <w:rsid w:val="00860670"/>
    <w:rsid w:val="00875DB6"/>
    <w:rsid w:val="008810AC"/>
    <w:rsid w:val="0089350D"/>
    <w:rsid w:val="00896BF5"/>
    <w:rsid w:val="00897714"/>
    <w:rsid w:val="008A3143"/>
    <w:rsid w:val="008A7ABE"/>
    <w:rsid w:val="008B17E9"/>
    <w:rsid w:val="008B4E61"/>
    <w:rsid w:val="008B6EAE"/>
    <w:rsid w:val="008C6CD5"/>
    <w:rsid w:val="008D3D80"/>
    <w:rsid w:val="008D543F"/>
    <w:rsid w:val="008D6B5E"/>
    <w:rsid w:val="00903244"/>
    <w:rsid w:val="00913556"/>
    <w:rsid w:val="0092014B"/>
    <w:rsid w:val="009205FA"/>
    <w:rsid w:val="009221CF"/>
    <w:rsid w:val="00936D2C"/>
    <w:rsid w:val="00936F68"/>
    <w:rsid w:val="009374C6"/>
    <w:rsid w:val="009440A6"/>
    <w:rsid w:val="0094541D"/>
    <w:rsid w:val="00946A6E"/>
    <w:rsid w:val="00950C80"/>
    <w:rsid w:val="00953242"/>
    <w:rsid w:val="009553A7"/>
    <w:rsid w:val="00955598"/>
    <w:rsid w:val="00957D8F"/>
    <w:rsid w:val="00960AA0"/>
    <w:rsid w:val="00965358"/>
    <w:rsid w:val="00965FBA"/>
    <w:rsid w:val="00971338"/>
    <w:rsid w:val="00974A8E"/>
    <w:rsid w:val="00981B12"/>
    <w:rsid w:val="009822A0"/>
    <w:rsid w:val="009869B7"/>
    <w:rsid w:val="00991EE4"/>
    <w:rsid w:val="0099608A"/>
    <w:rsid w:val="009A3AA1"/>
    <w:rsid w:val="009A5B11"/>
    <w:rsid w:val="009B1569"/>
    <w:rsid w:val="009B1AC2"/>
    <w:rsid w:val="009B2D4E"/>
    <w:rsid w:val="009B485E"/>
    <w:rsid w:val="009C1583"/>
    <w:rsid w:val="009C3B0C"/>
    <w:rsid w:val="009D1199"/>
    <w:rsid w:val="009D2D4C"/>
    <w:rsid w:val="009D347E"/>
    <w:rsid w:val="009D787F"/>
    <w:rsid w:val="009E7E12"/>
    <w:rsid w:val="009F0BB7"/>
    <w:rsid w:val="009F1A04"/>
    <w:rsid w:val="009F4474"/>
    <w:rsid w:val="00A10522"/>
    <w:rsid w:val="00A25E4A"/>
    <w:rsid w:val="00A26600"/>
    <w:rsid w:val="00A40923"/>
    <w:rsid w:val="00A41CDB"/>
    <w:rsid w:val="00A54A44"/>
    <w:rsid w:val="00A569DD"/>
    <w:rsid w:val="00A64E5C"/>
    <w:rsid w:val="00A64F64"/>
    <w:rsid w:val="00A65A2A"/>
    <w:rsid w:val="00A660B0"/>
    <w:rsid w:val="00A76A48"/>
    <w:rsid w:val="00A832EB"/>
    <w:rsid w:val="00AA107D"/>
    <w:rsid w:val="00AA6073"/>
    <w:rsid w:val="00AA6CB9"/>
    <w:rsid w:val="00AA7BFB"/>
    <w:rsid w:val="00AB4BD2"/>
    <w:rsid w:val="00AB74F8"/>
    <w:rsid w:val="00AD1E1A"/>
    <w:rsid w:val="00AD4CFC"/>
    <w:rsid w:val="00AE03FC"/>
    <w:rsid w:val="00AE17F2"/>
    <w:rsid w:val="00AE60FB"/>
    <w:rsid w:val="00AE63A3"/>
    <w:rsid w:val="00B0217B"/>
    <w:rsid w:val="00B04942"/>
    <w:rsid w:val="00B149F6"/>
    <w:rsid w:val="00B15849"/>
    <w:rsid w:val="00B30DAD"/>
    <w:rsid w:val="00B4441E"/>
    <w:rsid w:val="00B46F95"/>
    <w:rsid w:val="00B55B3C"/>
    <w:rsid w:val="00B73FC7"/>
    <w:rsid w:val="00B9090D"/>
    <w:rsid w:val="00B91ABA"/>
    <w:rsid w:val="00B9229C"/>
    <w:rsid w:val="00B948F2"/>
    <w:rsid w:val="00BA4ACD"/>
    <w:rsid w:val="00BB4DD1"/>
    <w:rsid w:val="00BB51E8"/>
    <w:rsid w:val="00BB5F77"/>
    <w:rsid w:val="00BC2045"/>
    <w:rsid w:val="00BC31E1"/>
    <w:rsid w:val="00BD144D"/>
    <w:rsid w:val="00BD71EE"/>
    <w:rsid w:val="00BE3AF3"/>
    <w:rsid w:val="00BE5126"/>
    <w:rsid w:val="00BE6D0C"/>
    <w:rsid w:val="00BE7DFD"/>
    <w:rsid w:val="00BF0F7D"/>
    <w:rsid w:val="00C0460B"/>
    <w:rsid w:val="00C04657"/>
    <w:rsid w:val="00C11236"/>
    <w:rsid w:val="00C11B44"/>
    <w:rsid w:val="00C12F84"/>
    <w:rsid w:val="00C16BE3"/>
    <w:rsid w:val="00C21197"/>
    <w:rsid w:val="00C2227C"/>
    <w:rsid w:val="00C27430"/>
    <w:rsid w:val="00C311CE"/>
    <w:rsid w:val="00C37F72"/>
    <w:rsid w:val="00C40A30"/>
    <w:rsid w:val="00C4282F"/>
    <w:rsid w:val="00C465E9"/>
    <w:rsid w:val="00C5129F"/>
    <w:rsid w:val="00C51D54"/>
    <w:rsid w:val="00C51E58"/>
    <w:rsid w:val="00C525CD"/>
    <w:rsid w:val="00C53142"/>
    <w:rsid w:val="00C53469"/>
    <w:rsid w:val="00C63A62"/>
    <w:rsid w:val="00C63D27"/>
    <w:rsid w:val="00C710DC"/>
    <w:rsid w:val="00C74DAD"/>
    <w:rsid w:val="00C75E2A"/>
    <w:rsid w:val="00C81D39"/>
    <w:rsid w:val="00CA5F8D"/>
    <w:rsid w:val="00CA7E47"/>
    <w:rsid w:val="00CB40E0"/>
    <w:rsid w:val="00CB5693"/>
    <w:rsid w:val="00CD7415"/>
    <w:rsid w:val="00CE13DA"/>
    <w:rsid w:val="00CE30FB"/>
    <w:rsid w:val="00CE6BCC"/>
    <w:rsid w:val="00CE7084"/>
    <w:rsid w:val="00CF2299"/>
    <w:rsid w:val="00CF2E90"/>
    <w:rsid w:val="00CF7B61"/>
    <w:rsid w:val="00D0085F"/>
    <w:rsid w:val="00D10B1F"/>
    <w:rsid w:val="00D12772"/>
    <w:rsid w:val="00D16CE3"/>
    <w:rsid w:val="00D1715E"/>
    <w:rsid w:val="00D20623"/>
    <w:rsid w:val="00D33B64"/>
    <w:rsid w:val="00D348C3"/>
    <w:rsid w:val="00D41983"/>
    <w:rsid w:val="00D41BE6"/>
    <w:rsid w:val="00D41CDE"/>
    <w:rsid w:val="00D42269"/>
    <w:rsid w:val="00D53CAB"/>
    <w:rsid w:val="00D709B0"/>
    <w:rsid w:val="00D72591"/>
    <w:rsid w:val="00D728D5"/>
    <w:rsid w:val="00D72B10"/>
    <w:rsid w:val="00D72D04"/>
    <w:rsid w:val="00D7616D"/>
    <w:rsid w:val="00D931E0"/>
    <w:rsid w:val="00D943D3"/>
    <w:rsid w:val="00DA6742"/>
    <w:rsid w:val="00DB29CB"/>
    <w:rsid w:val="00DD7430"/>
    <w:rsid w:val="00DE4A5C"/>
    <w:rsid w:val="00DE4EEE"/>
    <w:rsid w:val="00E00857"/>
    <w:rsid w:val="00E20D98"/>
    <w:rsid w:val="00E23804"/>
    <w:rsid w:val="00E27478"/>
    <w:rsid w:val="00E3368A"/>
    <w:rsid w:val="00E35105"/>
    <w:rsid w:val="00E40AA6"/>
    <w:rsid w:val="00E40B47"/>
    <w:rsid w:val="00E43A9F"/>
    <w:rsid w:val="00E5610A"/>
    <w:rsid w:val="00E56A9A"/>
    <w:rsid w:val="00E57351"/>
    <w:rsid w:val="00E75E4A"/>
    <w:rsid w:val="00E7641A"/>
    <w:rsid w:val="00E821AB"/>
    <w:rsid w:val="00E85CEA"/>
    <w:rsid w:val="00E931AB"/>
    <w:rsid w:val="00EA2F82"/>
    <w:rsid w:val="00EB348E"/>
    <w:rsid w:val="00EB5E64"/>
    <w:rsid w:val="00EC26A3"/>
    <w:rsid w:val="00EC5E72"/>
    <w:rsid w:val="00ED434B"/>
    <w:rsid w:val="00EE0292"/>
    <w:rsid w:val="00EE4072"/>
    <w:rsid w:val="00EF6D65"/>
    <w:rsid w:val="00F02647"/>
    <w:rsid w:val="00F03950"/>
    <w:rsid w:val="00F053B6"/>
    <w:rsid w:val="00F1266C"/>
    <w:rsid w:val="00F1277E"/>
    <w:rsid w:val="00F15D3E"/>
    <w:rsid w:val="00F17B70"/>
    <w:rsid w:val="00F22040"/>
    <w:rsid w:val="00F31523"/>
    <w:rsid w:val="00F45CDA"/>
    <w:rsid w:val="00F47562"/>
    <w:rsid w:val="00F6161E"/>
    <w:rsid w:val="00F620C0"/>
    <w:rsid w:val="00F621DB"/>
    <w:rsid w:val="00F648AE"/>
    <w:rsid w:val="00F72E8D"/>
    <w:rsid w:val="00F74461"/>
    <w:rsid w:val="00F744BF"/>
    <w:rsid w:val="00F751C2"/>
    <w:rsid w:val="00F81B16"/>
    <w:rsid w:val="00F821B1"/>
    <w:rsid w:val="00F84AD5"/>
    <w:rsid w:val="00F94F6B"/>
    <w:rsid w:val="00F95602"/>
    <w:rsid w:val="00F971B9"/>
    <w:rsid w:val="00FA152F"/>
    <w:rsid w:val="00FB17F3"/>
    <w:rsid w:val="00FC5113"/>
    <w:rsid w:val="00FD07E1"/>
    <w:rsid w:val="00FD5F2A"/>
    <w:rsid w:val="00FE0088"/>
    <w:rsid w:val="00FF298B"/>
    <w:rsid w:val="00FF6A50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5:docId w15:val="{78F6FD5B-7F68-47A2-867F-AEDE76B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E7CE8"/>
    <w:pPr>
      <w:keepNext/>
      <w:tabs>
        <w:tab w:val="left" w:pos="5040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13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136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513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5136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51363"/>
  </w:style>
  <w:style w:type="paragraph" w:styleId="ListParagraph">
    <w:name w:val="List Paragraph"/>
    <w:basedOn w:val="Normal"/>
    <w:uiPriority w:val="34"/>
    <w:qFormat/>
    <w:rsid w:val="00651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0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822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mailStyle20">
    <w:name w:val="EmailStyle20"/>
    <w:rsid w:val="00F17B70"/>
    <w:rPr>
      <w:rFonts w:ascii="Arial" w:hAnsi="Arial" w:cs="Arial"/>
      <w:color w:val="000000"/>
      <w:sz w:val="20"/>
      <w:szCs w:val="20"/>
    </w:rPr>
  </w:style>
  <w:style w:type="paragraph" w:styleId="NoSpacing">
    <w:name w:val="No Spacing"/>
    <w:uiPriority w:val="1"/>
    <w:qFormat/>
    <w:rsid w:val="00CF2299"/>
    <w:pPr>
      <w:spacing w:after="0" w:line="240" w:lineRule="auto"/>
    </w:pPr>
  </w:style>
  <w:style w:type="paragraph" w:styleId="BodyText3">
    <w:name w:val="Body Text 3"/>
    <w:basedOn w:val="Normal"/>
    <w:link w:val="BodyText3Char"/>
    <w:rsid w:val="003E7CE8"/>
    <w:pPr>
      <w:jc w:val="both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3E7CE8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3E7CE8"/>
    <w:rPr>
      <w:rFonts w:ascii="Times New Roman" w:eastAsia="Times New Roman" w:hAnsi="Times New Roman" w:cs="Times New Roman"/>
      <w:b/>
      <w:bCs/>
      <w:i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76F20-CCE7-4E6F-98AA-8A4B2091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Cavaliere</dc:creator>
  <cp:lastModifiedBy>Kolb, Ralph</cp:lastModifiedBy>
  <cp:revision>32</cp:revision>
  <cp:lastPrinted>2018-01-08T16:38:00Z</cp:lastPrinted>
  <dcterms:created xsi:type="dcterms:W3CDTF">2018-01-08T15:15:00Z</dcterms:created>
  <dcterms:modified xsi:type="dcterms:W3CDTF">2021-05-27T11:27:00Z</dcterms:modified>
</cp:coreProperties>
</file>